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人民检察院</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霸州市人民检察院的主要职能：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第一条 根据《中华人民共和国宪法》《中华人民共和国人民检察院组织法》和《河北省设区市和基层人民检察院内设机构．革方案》(冀机编办(2019)1 24号），制定本规定。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第二条 霸州市人民检察院受上级人民检察院领导，对本级人民代表大会及其常务委员会负责并报告工作。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第三条 霸州市人民检察院的主要职责是：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（一）深入贯彻习近平新时代中国特色社会主义思想，深入彻党的路线方针和决策部署，坚持党对检察工作的绝对领导，坚决维护习近平总书记的核心地位，坚决维护党中央权威和集中统一领导。</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（二）依法向市人民代表大会及其常务委员会提出议案。</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（三）贯彻落实检察工作方针、总体规划，研究制定检察工作计划并组织实施。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（四）依照法律规定对直接受理的刑事案件行使侦查权。</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（五）负责对管辖的各类刑事案件依法审查批准逮捕、决定逮捕、提起公诉。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（六）负责应由本院承办的刑事、民事、行政诉讼活动及刑事、民事、行政判决和裁定等生效法律文书执行的法律监督工作。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（七）负责应由本院承办的提起公益诉讼工作。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（八)依法受理核淮追诉案件审查是否上报。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(九）负责应由本院承办的对看守所l—社区矫正等执法活动的法律。监督工作。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(十）受理向本院的控告申诉。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（十一)组织检察工作中法律政策具体应用问题的研究；组织开展检察理论研究工作。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(十二）负责检察人员思想政治教育和业务培训工作；按照权限管理检察官和其他工作人员。</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（十三）负责本院检务督察工作。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（十四）负责本院检务保障以及检察技术、信息化建设工作。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（十五）完成其他应当由本院负责的工作。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第四条 霸州市人民检察院设下列内设机构：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办公室。负责日常政务、办理文电、会务、机要、文秘、档案、保密、检务公开等工作；协调督办上级重要工作、批办事项；负责人大代表联络及管理检务协作、经费资产、基础建设、科技装备、交通工具、接待、后勤服务、检察技术、信息化建设等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第一检察部。负责普通刑事犯罪及涉未成年人犯罪案件的审查逮捕、审查起诉，开展相关立案监督、侦查监督、审判监督及相关案件的补充侦查，办理相关刑事申诉案件；负责检察机关社会治安综合治理工作；开展未成年人司法保护和预防未成年人犯罪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第二检察部。负责对市监察委员会移送职务犯罪案件的审查逮捕、审查起诉，开展相关审判监督及相关案件的补充侦查，办理相关刑事申诉案件；负责办理破坏社会主义市场经济秩序等犯罪案件的审查逮捕、审查起诉，开展立案监督、侦查监督、审判监督及相关案件的补充侦查，办理相关刑事申诉案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第三检察部。负责对看守所和社区矫正等执法活动监督，对刑事判决、裁定执行、强制医疗执行、羁押和办案期限的监督，羁押必要性审查；办理罪犯又犯罪案件；负责对法律规定的司法工作人员利用职权实施的非法拘禁、刑讯逼供、非法搜查等侵犯公民权利、损害司法公正犯罪的侦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第四检察部。负责对申请监督和提请抗诉的民事、行政案件的审查、抗诉，对市人民法院民事、行政诉讼活动进行监督，对审判监督程序以外的其他民事、行政审判程序中审判人员的违法行为提出检察建议对民事、行政执行活动实行法律监督。开展民事、行政支持起诉工作，办理民事、行政申诉案件；负责办理生态环境和资源保护、食品药品安全、国有财产保护、国有土地使用权出让等领域的行政公益诉讼案件，侵害英雄烈士姓名、肖像、名誉、荣誉的公益诉讼案件；负责对市人民法院开庭审理的公益诉讼案件派员出席法庭，依照有关规定提出检察建议。办理公益诉讼申诉案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（六)第五检察部。受理控告、申诉、信访；承办国家赔偿案件和国家司法救助案件；负责接待群众来访、处理群众来信（含电、网等）事项。</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七）综合业务部。负责案件受理流转、办案流程监控、涉财物监管、法律文书监管、案件信息公开、案件质量评查、业务考评和统计分析，负责人民监督员工作及业务应用系统的应用；负责检察调研及理论研究，司法体制改革综合协调工作；承办本院检察委员会日常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政治部（司法警察大队）。负责干部人事、教育培训、检察宣传、表彰奖励、舆情应对、党建群团、党风廉政、检务督察、离退休等工作。负责司法警务工作；负责提押、看管、送达等工作，配合检察监督事项。</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第五条 霸州市人民检察院政法专项编制56名。设检察长1名，副检察长3名，政治部主任1名（副科长级），检察委员会专职委员2名（副科长级）；内设机构股级领导职数9正11副。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第六条 霸州市人民检察院的检察室、所属事业单位设置、职责和编制事项另行规定。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第七条  本规定由中共河北省委机构编制委员会办公室负责解释，其调整由河北省人民检察院审核，报中共河北省委机构编制委员会办公室按规定程序办理。</w:t>
      </w:r>
    </w:p>
    <w:p>
      <w:pPr>
        <w:spacing w:line="500" w:lineRule="exact"/>
        <w:ind w:firstLine="640" w:firstLineChars="200"/>
        <w:jc w:val="left"/>
        <w:rPr>
          <w:rFonts w:hint="eastAsia" w:ascii="仿宋" w:hAnsi="仿宋" w:eastAsia="仿宋" w:cs="仿宋"/>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霸州市人民检察院</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副处级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霸州市人民检察院</w:t>
      </w:r>
      <w:r>
        <w:rPr>
          <w:rFonts w:ascii="Times New Roman" w:hAnsi="Times New Roman" w:eastAsia="仿宋_GB2312" w:cs="Times New Roman"/>
          <w:sz w:val="32"/>
          <w:szCs w:val="32"/>
        </w:rPr>
        <w:t>机关的收支包含在部门预算中。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2430.47</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2430.47</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人民检察院</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2430.47</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1937.65</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1639.42</w:t>
      </w:r>
      <w:r>
        <w:rPr>
          <w:rFonts w:hint="eastAsia" w:ascii="仿宋_GB2312" w:hAnsi="Times New Roman" w:eastAsia="仿宋_GB2312" w:cs="Times New Roman"/>
          <w:sz w:val="32"/>
          <w:szCs w:val="32"/>
        </w:rPr>
        <w:t>万元和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298.23</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运转类其他及特定目标类</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492.82</w:t>
      </w:r>
      <w:r>
        <w:rPr>
          <w:rFonts w:hint="eastAsia" w:ascii="仿宋_GB2312" w:hAnsi="Times New Roman" w:eastAsia="仿宋_GB2312" w:cs="Times New Roman"/>
          <w:sz w:val="32"/>
          <w:szCs w:val="32"/>
        </w:rPr>
        <w:t>万元，全部为本级支出，主要为主要为</w:t>
      </w:r>
      <w:r>
        <w:rPr>
          <w:rFonts w:hint="eastAsia" w:ascii="仿宋_GB2312" w:hAnsi="Times New Roman" w:eastAsia="仿宋_GB2312" w:cs="Times New Roman"/>
          <w:sz w:val="32"/>
          <w:szCs w:val="32"/>
          <w:lang w:eastAsia="zh-CN"/>
        </w:rPr>
        <w:t>公益诉讼经费、</w:t>
      </w:r>
      <w:r>
        <w:rPr>
          <w:rFonts w:hint="eastAsia" w:ascii="仿宋_GB2312" w:hAnsi="Times New Roman" w:eastAsia="仿宋_GB2312" w:cs="Times New Roman"/>
          <w:color w:val="auto"/>
          <w:sz w:val="32"/>
          <w:szCs w:val="32"/>
          <w:lang w:eastAsia="zh-CN"/>
        </w:rPr>
        <w:t>检务保障经费、国家赔偿及司法救助经费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hint="eastAsia"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2430.47</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lang w:val="en-US" w:eastAsia="zh-CN"/>
        </w:rPr>
        <w:t>减少54.05万元，其中：基本支出减少169.87万元，主要为减少人员经费的支出；项目支出增加115.82万元，主要为增加劳务费支出、国家赔偿及司法救助的项目支出。</w:t>
      </w:r>
    </w:p>
    <w:p>
      <w:pPr>
        <w:numPr>
          <w:ilvl w:val="0"/>
          <w:numId w:val="1"/>
        </w:num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机关运行经费安排情况</w:t>
      </w:r>
    </w:p>
    <w:p>
      <w:pPr>
        <w:ind w:firstLine="640" w:firstLineChars="200"/>
        <w:rPr>
          <w:rFonts w:hint="eastAsia" w:ascii="黑体" w:hAnsi="黑体" w:eastAsia="黑体"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298.23</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w:t>
      </w:r>
      <w:r>
        <w:rPr>
          <w:rFonts w:hint="eastAsia" w:ascii="仿宋_GB2312" w:hAnsi="Times New Roman" w:eastAsia="仿宋_GB2312" w:cs="Times New Roman"/>
          <w:sz w:val="32"/>
          <w:szCs w:val="32"/>
          <w:lang w:eastAsia="zh-CN"/>
        </w:rPr>
        <w:t>培训费</w:t>
      </w:r>
      <w:r>
        <w:rPr>
          <w:rFonts w:hint="eastAsia" w:ascii="仿宋_GB2312" w:hAnsi="Times New Roman" w:eastAsia="仿宋_GB2312" w:cs="Times New Roman"/>
          <w:sz w:val="32"/>
          <w:szCs w:val="32"/>
        </w:rPr>
        <w:t>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52</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50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万元，与20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认真学习贯彻党的十九大和十九届五中全会精神，认真落实中央级、省、市政法工作会议和全国全省全市检察长会议部署，坚持“讲政治、顾大局、谋发展、重自强”的总体要求，把握“落实、稳进、提升”的检察工作的主题，为我们检察机关开展基层治理工作提供了根本遵循。加大执法力度，结合本地区的实际情况开展相关工作，以维护社会稳定为核心。开展公益诉讼案件的办理，加大公益诉讼宣传工作，公益诉讼宣传覆盖城镇、街村，加大对生态环境和食品安全领域的公益诉讼案件全覆盖，扎实推进公益诉讼案件的办理。预计2021年办理总案件数500件，结案率为95%，增强检务保障工作的管理，提高办案效率。推动基础信息化建设，建立检察机关办公办案系统建设体系，加强办案内网运行，提升业务装备能力。有效维护公民、法人、和其他合法组织的合法权利，进一步促进社会和谐，提高群众对办理案件的满意度。</w:t>
      </w: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TC 分项绩效目标 \f A \l 1</w:instrText>
      </w:r>
      <w:r>
        <w:rPr>
          <w:rFonts w:ascii="仿宋_GB2312" w:hAnsi="Times New Roman" w:eastAsia="仿宋_GB2312" w:cs="Times New Roman"/>
          <w:sz w:val="32"/>
          <w:szCs w:val="32"/>
        </w:rPr>
        <w:instrText xml:space="preserve"> </w:instrText>
      </w:r>
      <w:r>
        <w:rPr>
          <w:rFonts w:ascii="仿宋_GB2312" w:hAnsi="Times New Roman" w:eastAsia="仿宋_GB2312" w:cs="Times New Roman"/>
          <w:sz w:val="32"/>
          <w:szCs w:val="32"/>
        </w:rPr>
        <w:fldChar w:fldCharType="end"/>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（二）</w:t>
      </w:r>
      <w:r>
        <w:rPr>
          <w:rFonts w:ascii="仿宋_GB2312" w:hAnsi="Times New Roman" w:eastAsia="仿宋_GB2312" w:cs="Times New Roman"/>
          <w:sz w:val="32"/>
          <w:szCs w:val="32"/>
        </w:rPr>
        <w:t>、分项绩效目标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加强对案件办理的监督能力，有效维护公民、法人和其他合法组织的合法权利</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绩效目标：保障公民、法人、和其他组织享有依法取得国家赔偿的权利，确保人民的合法权益不受侵害，充分发挥监督职能，较好的促进社会的和谐稳定，提高监督、执法能力。</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2021年我单位预计司法救助2人，国家赔偿1次，提高赔偿案件的效率，项目总成本控制在预算内，有效维护公民、法人和其他合法组织的合法权利，进一步促进社会和谐，是被司法救助、接受国家赔偿人员的满意度达到95%。</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ascii="仿宋_GB2312" w:hAnsi="Times New Roman" w:eastAsia="仿宋_GB2312" w:cs="Times New Roman"/>
          <w:sz w:val="32"/>
          <w:szCs w:val="32"/>
        </w:rPr>
        <w:t>加大公益诉讼宣传力度，提高公益诉讼办案数量</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提高工艺诉讼案件受理、管辖、审理、裁判、执行程序，切实提高公益诉讼案件的办案率。结合本地区实际情况开展宣传工作，保障我市生态文明建设，提高群众对公益诉讼的知晓率。提高公益诉讼对社会的影响，提高群众对公益诉讼案件的认识。</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2021年预计办理公益诉讼案件80件，，出差次数80人次，公益诉讼案件立案率达到95%，及时处理公益诉讼案件，进一步提高公益诉讼案件的办案率，提高群众对公益诉讼的知晓率，促进社会稳定和谐效果显著。使群众对办理公益诉讼的满意度达到95%。</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ascii="仿宋_GB2312" w:hAnsi="Times New Roman" w:eastAsia="仿宋_GB2312" w:cs="Times New Roman"/>
          <w:sz w:val="32"/>
          <w:szCs w:val="32"/>
        </w:rPr>
        <w:t>加强检务保障工作，提高办案率</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绩效目标：始终站在讲政治的高度，把深入推进平安霸州和法治霸州建设，维护社会和谐稳定，充分发挥审查起诉和审查批捕的职能作用，较好的促进社会和谐稳定工作，提高办案、执法能力。提高办案效率。</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绩效指标：招聘劳务人员20人，招聘书记员13人 协助处理案件500件，提高案件处理的及时性。进一步提高办案效率，强化单位履职效能。使群众对办理案件的满意度，单位内部人员对招聘人员使用的满意度达到95%。</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ascii="仿宋_GB2312" w:hAnsi="Times New Roman" w:eastAsia="仿宋_GB2312" w:cs="Times New Roman"/>
          <w:sz w:val="32"/>
          <w:szCs w:val="32"/>
        </w:rPr>
        <w:t>提高业务装备水平，推进网络信息化办案</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目标：强化检察工作信息化深度融合，以深化办公办案系统的应用，整合完善办公办案综合应用系统，构建办公办案系统总体架构，实现检察系统设施联通、网络畅通、平台贯通、数据融通、提升检察工作智能办案水平。</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绩效指标：购置办公办案系统1套，统一业务2.0平台升级1次。保障警察干警对办公办案系统的满意度达到95%。</w:t>
      </w: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TC 工作保障措施 \f A \l 1</w:instrText>
      </w:r>
      <w:r>
        <w:rPr>
          <w:rFonts w:ascii="仿宋_GB2312" w:hAnsi="Times New Roman" w:eastAsia="仿宋_GB2312" w:cs="Times New Roman"/>
          <w:sz w:val="32"/>
          <w:szCs w:val="32"/>
        </w:rPr>
        <w:instrText xml:space="preserve"> </w:instrText>
      </w:r>
      <w:r>
        <w:rPr>
          <w:rFonts w:ascii="仿宋_GB2312" w:hAnsi="Times New Roman" w:eastAsia="仿宋_GB2312" w:cs="Times New Roman"/>
          <w:sz w:val="32"/>
          <w:szCs w:val="32"/>
        </w:rPr>
        <w:fldChar w:fldCharType="end"/>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(三)</w:t>
      </w:r>
      <w:r>
        <w:rPr>
          <w:rFonts w:ascii="仿宋_GB2312" w:hAnsi="Times New Roman" w:eastAsia="仿宋_GB2312" w:cs="Times New Roman"/>
          <w:sz w:val="32"/>
          <w:szCs w:val="32"/>
        </w:rPr>
        <w:t>、工作保障措施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sz w:val="32"/>
          <w:szCs w:val="32"/>
        </w:rPr>
        <w:t>是扎实案件办理的各项工作</w:t>
      </w:r>
    </w:p>
    <w:p>
      <w:pPr>
        <w:rPr>
          <w:rFonts w:ascii="仿宋_GB2312" w:hAnsi="Times New Roman" w:eastAsia="仿宋_GB2312" w:cs="Times New Roman"/>
          <w:sz w:val="32"/>
          <w:szCs w:val="32"/>
        </w:rPr>
      </w:pPr>
      <w:r>
        <w:rPr>
          <w:rFonts w:ascii="仿宋_GB2312" w:hAnsi="Times New Roman" w:eastAsia="仿宋_GB2312" w:cs="Times New Roman"/>
          <w:sz w:val="32"/>
          <w:szCs w:val="32"/>
        </w:rPr>
        <w:t>做强民事检察、做好行政检察、做实公益诉讼检察工作作为诉讼监督的主责主业，紧紧抓住群众反映强烈的有法不依、执法不严和司法不公等突出问题，维护法律威严和社会公平正义。把深入推进平安霸州和法治霸州建设，维护社会和谐稳定，作为“做优刑事检察工作”的切入点和着力点，充分发挥审查起诉和审查批捕的职能作用，较好地促进了维护社会和谐稳定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ascii="仿宋_GB2312" w:hAnsi="Times New Roman" w:eastAsia="仿宋_GB2312" w:cs="Times New Roman"/>
          <w:sz w:val="32"/>
          <w:szCs w:val="32"/>
        </w:rPr>
        <w:t>是深入推进公益诉讼工作的开展</w:t>
      </w:r>
    </w:p>
    <w:p>
      <w:pPr>
        <w:rPr>
          <w:rFonts w:ascii="仿宋_GB2312" w:hAnsi="Times New Roman" w:eastAsia="仿宋_GB2312" w:cs="Times New Roman"/>
          <w:sz w:val="32"/>
          <w:szCs w:val="32"/>
        </w:rPr>
      </w:pPr>
      <w:r>
        <w:rPr>
          <w:rFonts w:ascii="仿宋_GB2312" w:hAnsi="Times New Roman" w:eastAsia="仿宋_GB2312" w:cs="Times New Roman"/>
          <w:sz w:val="32"/>
          <w:szCs w:val="32"/>
        </w:rPr>
        <w:t>我们把做优刑事检察、做强民事检察、做好行政检察、做实公益诉讼检察工作作为诉讼监督的主责主业，紧紧抓住群众反映强烈的有法不依、执法不严和司法不公等突出问题，维护法律威严和社会公平正义。以内设机构改革为契机，积极推进“捕诉合一”的刑事办案机制，把庭审的要求向前传导到批捕和侦查环节，推动构建以证据为核心的刑事指控体系，坚持在监督中办案、在办案中监督，加强对刑事立案、侦查、审判活动的监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ascii="仿宋_GB2312" w:hAnsi="Times New Roman" w:eastAsia="仿宋_GB2312" w:cs="Times New Roman"/>
          <w:sz w:val="32"/>
          <w:szCs w:val="32"/>
        </w:rPr>
        <w:t>提高法律的监督力度</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按照“做细做实做强”要求，加强刑事办案专业化建设，充分发挥“在办案中监督”的最大优势，构建全覆盖、全流程、立体化的刑事办案监督机制。全面强化民事行政检察和公益诉讼检察工作，综合运用多种监督手段，努力提升法律监督精细化、规范化水平。认真解决检察建议制作不规范、内容笼统针对性不强等问题，强化检察建议发出后的追踪问效，切实增强检察建议的刚性。</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ascii="仿宋_GB2312" w:hAnsi="Times New Roman" w:eastAsia="仿宋_GB2312" w:cs="Times New Roman"/>
          <w:sz w:val="32"/>
          <w:szCs w:val="32"/>
        </w:rPr>
        <w:t>完善制度建设，加强支出管理</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我单位制定了完善预算绩效管理制度、制定了绩效管理办法，资金管理办法、工作保障制度等，为全年预算绩效目标的实现奠定制度基础，严格按照预算编制要求、优化支出结构、编细编实预算、加快履行政府采购手续、尽快启动项目、及时支付资金、6月底前细化代编预算、按规定及时下达资金等多种措施，确保支出进度达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ascii="仿宋_GB2312" w:hAnsi="Times New Roman" w:eastAsia="仿宋_GB2312" w:cs="Times New Roman"/>
          <w:sz w:val="32"/>
          <w:szCs w:val="32"/>
        </w:rPr>
        <w:t>加强绩效运行监控，做好绩效自评</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我单位将严格按要求开展绩效运行监控，发现问题及时采取措施，确保绩效目标如期保质实现。要求开展上年度部门预算绩效自评和重点评价工作，对评价中发现的问题及时进行整改，调整优化支出结构，提高财政资金使用效益。</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ascii="仿宋_GB2312" w:hAnsi="Times New Roman" w:eastAsia="仿宋_GB2312" w:cs="Times New Roman"/>
          <w:sz w:val="32"/>
          <w:szCs w:val="32"/>
        </w:rPr>
        <w:t>加强内部监督，加强宣传培训调研</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制定内部监督制度建设，对绩效运行情况、重大支出决策、资产处置及其他重要相关业务事项的决策和执行进行督导，对会计资料进行内部审计，并配合做好审计、财政监督等外部监督工作，确保财政资金安全有效，支出合理。加强人员培训，提高本部门干警业务素质；加强调研，提出优化财政资金配置、提高资金使用效益的意见；加大宣传力度，强化预算绩效管理意识，促进预算绩效管理水平进一步提升。</w:t>
      </w:r>
    </w:p>
    <w:p>
      <w:pPr>
        <w:numPr>
          <w:ilvl w:val="0"/>
          <w:numId w:val="2"/>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p>
      <w:pPr>
        <w:widowControl w:val="0"/>
        <w:numPr>
          <w:ilvl w:val="0"/>
          <w:numId w:val="0"/>
        </w:numPr>
        <w:ind w:firstLine="630" w:firstLineChars="300"/>
        <w:jc w:val="both"/>
        <w:rPr>
          <w:rFonts w:hint="default" w:ascii="方正书宋_GBK" w:eastAsia="方正书宋_GBK"/>
          <w:b/>
          <w:lang w:val="en-US" w:eastAsia="zh-CN"/>
        </w:rPr>
      </w:pPr>
      <w:r>
        <w:rPr>
          <w:rFonts w:hint="eastAsia" w:ascii="方正书宋_GBK" w:eastAsia="方正书宋_GBK"/>
          <w:b/>
        </w:rPr>
        <w:t>404001霸州市人民检察院本级</w:t>
      </w:r>
      <w:r>
        <w:rPr>
          <w:rFonts w:hint="eastAsia" w:ascii="方正书宋_GBK" w:eastAsia="方正书宋_GBK"/>
          <w:b/>
          <w:lang w:val="en-US" w:eastAsia="zh-CN"/>
        </w:rPr>
        <w:t xml:space="preserve">                                                                                  </w:t>
      </w:r>
      <w:r>
        <w:rPr>
          <w:rFonts w:hint="eastAsia" w:ascii="方正书宋_GBK" w:eastAsia="方正书宋_GBK"/>
          <w:b/>
        </w:rPr>
        <w:t>单位：万元</w:t>
      </w:r>
    </w:p>
    <w:tbl>
      <w:tblPr>
        <w:tblStyle w:val="7"/>
        <w:tblW w:w="12855" w:type="dxa"/>
        <w:tblInd w:w="660" w:type="dxa"/>
        <w:shd w:val="clear" w:color="auto" w:fill="auto"/>
        <w:tblLayout w:type="fixed"/>
        <w:tblCellMar>
          <w:top w:w="0" w:type="dxa"/>
          <w:left w:w="108" w:type="dxa"/>
          <w:bottom w:w="0" w:type="dxa"/>
          <w:right w:w="108" w:type="dxa"/>
        </w:tblCellMar>
      </w:tblPr>
      <w:tblGrid>
        <w:gridCol w:w="1380"/>
        <w:gridCol w:w="1758"/>
        <w:gridCol w:w="1100"/>
        <w:gridCol w:w="2059"/>
        <w:gridCol w:w="1545"/>
        <w:gridCol w:w="1056"/>
        <w:gridCol w:w="883"/>
        <w:gridCol w:w="1166"/>
        <w:gridCol w:w="1908"/>
      </w:tblGrid>
      <w:tr>
        <w:tblPrEx>
          <w:shd w:val="clear" w:color="auto" w:fill="auto"/>
          <w:tblCellMar>
            <w:top w:w="0" w:type="dxa"/>
            <w:left w:w="108" w:type="dxa"/>
            <w:bottom w:w="0" w:type="dxa"/>
            <w:right w:w="108" w:type="dxa"/>
          </w:tblCellMar>
        </w:tblPrEx>
        <w:trPr>
          <w:trHeight w:val="225"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c>
          <w:tcPr>
            <w:tcW w:w="3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shd w:val="clear" w:color="auto" w:fill="auto"/>
          <w:tblCellMar>
            <w:top w:w="0" w:type="dxa"/>
            <w:left w:w="108" w:type="dxa"/>
            <w:bottom w:w="0" w:type="dxa"/>
            <w:right w:w="108" w:type="dxa"/>
          </w:tblCellMar>
        </w:tblPrEx>
        <w:trPr>
          <w:trHeight w:val="67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75"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产出指标</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购置办公办案系统数量</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购置办公办案系统数量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套</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shd w:val="clear" w:color="auto" w:fill="auto"/>
          <w:tblCellMar>
            <w:top w:w="0" w:type="dxa"/>
            <w:left w:w="108" w:type="dxa"/>
            <w:bottom w:w="0" w:type="dxa"/>
            <w:right w:w="108" w:type="dxa"/>
          </w:tblCellMar>
        </w:tblPrEx>
        <w:trPr>
          <w:trHeight w:val="67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办理公益诉讼案件数</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办理公益诉讼案件数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80.00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件</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shd w:val="clear" w:color="auto" w:fill="auto"/>
          <w:tblCellMar>
            <w:top w:w="0" w:type="dxa"/>
            <w:left w:w="108" w:type="dxa"/>
            <w:bottom w:w="0" w:type="dxa"/>
            <w:right w:w="108" w:type="dxa"/>
          </w:tblCellMar>
        </w:tblPrEx>
        <w:trPr>
          <w:trHeight w:val="45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监督案件办理数量</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监督案件办理数量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件</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shd w:val="clear" w:color="auto" w:fill="auto"/>
          <w:tblCellMar>
            <w:top w:w="0" w:type="dxa"/>
            <w:left w:w="108" w:type="dxa"/>
            <w:bottom w:w="0" w:type="dxa"/>
            <w:right w:w="108" w:type="dxa"/>
          </w:tblCellMar>
        </w:tblPrEx>
        <w:trPr>
          <w:trHeight w:val="45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处理案件数</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处理案件数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件</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shd w:val="clear" w:color="auto" w:fill="auto"/>
          <w:tblCellMar>
            <w:top w:w="0" w:type="dxa"/>
            <w:left w:w="108" w:type="dxa"/>
            <w:bottom w:w="0" w:type="dxa"/>
            <w:right w:w="108" w:type="dxa"/>
          </w:tblCellMar>
        </w:tblPrEx>
        <w:trPr>
          <w:trHeight w:val="112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质量指标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起诉案件的立案率</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完成起诉案件数量占总办理起诉案件的比率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95.00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百分比</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shd w:val="clear" w:color="auto" w:fill="auto"/>
          <w:tblCellMar>
            <w:top w:w="0" w:type="dxa"/>
            <w:left w:w="108" w:type="dxa"/>
            <w:bottom w:w="0" w:type="dxa"/>
            <w:right w:w="108" w:type="dxa"/>
          </w:tblCellMar>
        </w:tblPrEx>
        <w:trPr>
          <w:trHeight w:val="45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时效指标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案件处理的及时性</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案件处理的及时性</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及时处理</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CellMar>
            <w:top w:w="0" w:type="dxa"/>
            <w:left w:w="108" w:type="dxa"/>
            <w:bottom w:w="0" w:type="dxa"/>
            <w:right w:w="108" w:type="dxa"/>
          </w:tblCellMar>
        </w:tblPrEx>
        <w:trPr>
          <w:trHeight w:val="675"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效益指标</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可持续影响指标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业务保障能力得到提升</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业务保障能力得到提升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20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得到提升</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CellMar>
            <w:top w:w="0" w:type="dxa"/>
            <w:left w:w="108" w:type="dxa"/>
            <w:bottom w:w="0" w:type="dxa"/>
            <w:right w:w="108" w:type="dxa"/>
          </w:tblCellMar>
        </w:tblPrEx>
        <w:trPr>
          <w:trHeight w:val="900"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社会效益指标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提高办案效率强化单位履效职能</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提高办案效率强化单位履效职能</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20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文字描述</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效果显著</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CellMar>
            <w:top w:w="0" w:type="dxa"/>
            <w:left w:w="108" w:type="dxa"/>
            <w:bottom w:w="0" w:type="dxa"/>
            <w:right w:w="108" w:type="dxa"/>
          </w:tblCellMar>
        </w:tblPrEx>
        <w:trPr>
          <w:trHeight w:val="900"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满意度指标</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服务对象满意度指标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群众对办理案件的满意度</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调查中满意人数占总调查人数的比率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95.00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百分比</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CellMar>
            <w:top w:w="0" w:type="dxa"/>
            <w:left w:w="108" w:type="dxa"/>
            <w:bottom w:w="0" w:type="dxa"/>
            <w:right w:w="108" w:type="dxa"/>
          </w:tblCellMar>
        </w:tblPrEx>
        <w:trPr>
          <w:trHeight w:val="67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服务对象满意度指标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单位内部人员对招聘人员的满意度</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调查中满意人数占总人数的比率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both"/>
              <w:rPr>
                <w:rFonts w:hint="eastAsia" w:ascii="方正书宋_GBK" w:eastAsia="方正书宋_GBK"/>
              </w:rPr>
            </w:pPr>
            <w:r>
              <w:rPr>
                <w:rFonts w:hint="eastAsia" w:ascii="方正书宋_GBK" w:eastAsia="方正书宋_GBK"/>
                <w:lang w:val="en-US" w:eastAsia="zh-CN"/>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95.00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百分比</w:t>
            </w:r>
          </w:p>
        </w:tc>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numPr>
          <w:ilvl w:val="0"/>
          <w:numId w:val="0"/>
        </w:numPr>
        <w:rPr>
          <w:rFonts w:hint="eastAsia" w:ascii="仿宋_GB2312" w:hAnsi="Times New Roman" w:eastAsia="仿宋_GB2312" w:cs="Times New Roman"/>
          <w:b w:val="0"/>
          <w:bCs/>
          <w:color w:val="auto"/>
          <w:sz w:val="32"/>
          <w:szCs w:val="32"/>
          <w:lang w:val="en-US" w:eastAsia="zh-CN"/>
        </w:rPr>
      </w:pPr>
    </w:p>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1"/>
        <w:rPr>
          <w:rFonts w:hint="eastAsia" w:ascii="方正仿宋_GBK" w:eastAsia="方正仿宋_GBK"/>
          <w:b/>
          <w:sz w:val="28"/>
        </w:rPr>
      </w:pPr>
      <w:r>
        <w:rPr>
          <w:rFonts w:hint="eastAsia" w:ascii="方正仿宋_GBK" w:eastAsia="方正仿宋_GBK"/>
          <w:b/>
          <w:sz w:val="28"/>
        </w:rPr>
        <w:t>1、关于提前下达2021年省级基层公检法司转移支付资金的通知（冀财政法[2020]71号）绩效目标表</w:t>
      </w:r>
    </w:p>
    <w:tbl>
      <w:tblPr>
        <w:tblStyle w:val="7"/>
        <w:tblW w:w="128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70"/>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47"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hint="eastAsia" w:ascii="方正书宋_GBK" w:eastAsia="方正书宋_GBK"/>
                <w:b/>
              </w:rPr>
              <w:t>404001霸州市人民检察院本级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70"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1.预计办理案件500件，保障出差次数100人次，提高案件的立案率。</w:t>
            </w:r>
          </w:p>
          <w:p>
            <w:pPr>
              <w:spacing w:line="300" w:lineRule="exact"/>
              <w:jc w:val="left"/>
              <w:rPr>
                <w:rFonts w:hint="eastAsia" w:ascii="方正书宋_GBK" w:eastAsia="方正书宋_GBK"/>
              </w:rPr>
            </w:pPr>
            <w:r>
              <w:rPr>
                <w:rFonts w:hint="eastAsia" w:ascii="方正书宋_GBK" w:eastAsia="方正书宋_GBK"/>
              </w:rPr>
              <w:t>2.内网运行维护1次</w:t>
            </w:r>
          </w:p>
          <w:p>
            <w:pPr>
              <w:spacing w:line="300" w:lineRule="exact"/>
              <w:jc w:val="left"/>
              <w:rPr>
                <w:rFonts w:ascii="方正书宋_GBK" w:eastAsia="方正书宋_GBK"/>
              </w:rPr>
            </w:pPr>
            <w:r>
              <w:rPr>
                <w:rFonts w:hint="eastAsia" w:ascii="方正书宋_GBK" w:eastAsia="方正书宋_GBK"/>
              </w:rPr>
              <w:t>3.邮寄案件相关信件300封</w:t>
            </w:r>
          </w:p>
        </w:tc>
      </w:tr>
    </w:tbl>
    <w:p>
      <w:pPr>
        <w:spacing w:line="14" w:lineRule="exact"/>
        <w:jc w:val="center"/>
        <w:rPr>
          <w:rFonts w:ascii="Times New Roman" w:hAnsi="宋体"/>
        </w:rPr>
      </w:pPr>
      <w:r>
        <w:rPr>
          <w:rFonts w:ascii="方正书宋_GBK" w:eastAsia="方正书宋_GBK"/>
        </w:rPr>
        <w:t xml:space="preserve"> </w:t>
      </w:r>
    </w:p>
    <w:tbl>
      <w:tblPr>
        <w:tblStyle w:val="7"/>
        <w:tblW w:w="128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8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8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出差次数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出差次数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内网运行维护次数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内网运行维护次数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处理案件数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处理案件数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≥500件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邮寄案件相关信件数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邮寄案件相关信件数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≥500封</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办理案件的立案率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起诉案件数占办理案件总数的比率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案件处理及时性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办理案件的及时性</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及时办理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每人每天出差补助金额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每人每天出差补助金额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≤180元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提高案件办案率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成功起诉案件数占总办理案件数的比率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业务保障能力的到提升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85"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通过问卷调查，满意的受资助对象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调查使用满意人员数占调查总人数的比率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outlineLvl w:val="1"/>
        <w:rPr>
          <w:rFonts w:hint="default" w:ascii="方正仿宋_GBK" w:eastAsia="方正仿宋_GBK"/>
          <w:b/>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outlineLvl w:val="1"/>
        <w:rPr>
          <w:rFonts w:hint="default" w:ascii="方正仿宋_GBK" w:eastAsia="方正仿宋_GBK"/>
          <w:b/>
          <w:sz w:val="21"/>
          <w:szCs w:val="21"/>
          <w:lang w:val="en-US" w:eastAsia="zh-CN"/>
        </w:rPr>
      </w:pP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numPr>
          <w:ilvl w:val="0"/>
          <w:numId w:val="0"/>
        </w:numPr>
        <w:ind w:firstLine="560" w:firstLineChars="200"/>
        <w:jc w:val="left"/>
        <w:outlineLvl w:val="1"/>
        <w:rPr>
          <w:rFonts w:hint="eastAsia" w:ascii="方正仿宋_GBK" w:eastAsia="方正仿宋_GBK"/>
          <w:b/>
          <w:sz w:val="28"/>
        </w:rPr>
      </w:pPr>
      <w:r>
        <w:rPr>
          <w:rFonts w:hint="eastAsia" w:ascii="方正仿宋_GBK" w:eastAsia="方正仿宋_GBK"/>
          <w:b/>
          <w:color w:val="auto"/>
          <w:sz w:val="28"/>
          <w:lang w:val="en-US" w:eastAsia="zh-CN"/>
        </w:rPr>
        <w:t>2、</w:t>
      </w:r>
      <w:r>
        <w:rPr>
          <w:rFonts w:hint="eastAsia" w:ascii="方正仿宋_GBK" w:eastAsia="方正仿宋_GBK"/>
          <w:b/>
          <w:sz w:val="28"/>
        </w:rPr>
        <w:t>关于提前下达2021年中央政法纪检监察转移支付资金的通知（冀财政法[2020]70号）绩效目标表</w:t>
      </w:r>
    </w:p>
    <w:tbl>
      <w:tblPr>
        <w:tblStyle w:val="7"/>
        <w:tblW w:w="12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63"/>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40"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hint="eastAsia" w:ascii="方正书宋_GBK" w:eastAsia="方正书宋_GBK"/>
                <w:b/>
              </w:rPr>
              <w:t>404001霸州市人民检察院本级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1.预计办理案件500件，保障出差人次100人次，提高案件立案率。</w:t>
            </w:r>
          </w:p>
          <w:p>
            <w:pPr>
              <w:spacing w:line="300" w:lineRule="exact"/>
              <w:jc w:val="left"/>
              <w:rPr>
                <w:rFonts w:hint="eastAsia" w:ascii="方正书宋_GBK" w:eastAsia="方正书宋_GBK"/>
              </w:rPr>
            </w:pPr>
            <w:r>
              <w:rPr>
                <w:rFonts w:hint="eastAsia" w:ascii="方正书宋_GBK" w:eastAsia="方正书宋_GBK"/>
              </w:rPr>
              <w:t>2.购置办公办案系统1套，统一业务2.0平台升级1次。</w:t>
            </w:r>
          </w:p>
          <w:p>
            <w:pPr>
              <w:spacing w:line="300" w:lineRule="exact"/>
              <w:jc w:val="left"/>
              <w:rPr>
                <w:rFonts w:ascii="方正书宋_GBK" w:eastAsia="方正书宋_GBK"/>
              </w:rPr>
            </w:pPr>
            <w:r>
              <w:rPr>
                <w:rFonts w:hint="eastAsia" w:ascii="方正书宋_GBK" w:eastAsia="方正书宋_GBK"/>
              </w:rPr>
              <w:t>3.邮寄案件相关信件500封。</w:t>
            </w:r>
          </w:p>
        </w:tc>
      </w:tr>
    </w:tbl>
    <w:p>
      <w:pPr>
        <w:spacing w:line="14" w:lineRule="exact"/>
        <w:jc w:val="center"/>
        <w:rPr>
          <w:rFonts w:ascii="Times New Roman" w:hAnsi="宋体"/>
        </w:rPr>
      </w:pPr>
      <w:r>
        <w:rPr>
          <w:rFonts w:ascii="方正书宋_GBK" w:eastAsia="方正书宋_GBK"/>
        </w:rPr>
        <w:t xml:space="preserve"> </w:t>
      </w:r>
    </w:p>
    <w:tbl>
      <w:tblPr>
        <w:tblStyle w:val="7"/>
        <w:tblW w:w="128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5"/>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3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出差次数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出差次数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购置办公办案系统数量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购置办公办案系统数量</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办公办案系统升级次数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办公办案系统升级次数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处理案件数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处理案件数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≥500件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邮寄案件相关信件数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邮寄案件相关信件数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≥300封</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有效发明专利较上年的增长比例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起诉案件数占总案件数的比率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案件处理及时性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案件处理的及时性</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≥90天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每人每天出差补助金额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每人每天出差补助金额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≤180元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业务保障能力提升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业务保障能力得到提升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35"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装备使用人员的满意度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调查中使用满意人数占总调查人数的比率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计划比哦转</w:t>
            </w:r>
          </w:p>
        </w:tc>
      </w:tr>
    </w:tbl>
    <w:p>
      <w:pPr>
        <w:ind w:firstLine="560" w:firstLineChars="200"/>
        <w:jc w:val="left"/>
        <w:outlineLvl w:val="3"/>
        <w:rPr>
          <w:rFonts w:hint="eastAsia" w:ascii="方正仿宋_GBK" w:eastAsia="方正仿宋_GBK"/>
          <w:b/>
          <w:sz w:val="28"/>
        </w:rPr>
      </w:pPr>
      <w:bookmarkStart w:id="2" w:name="_Toc64885165"/>
    </w:p>
    <w:p>
      <w:pPr>
        <w:ind w:firstLine="560" w:firstLineChars="200"/>
        <w:jc w:val="left"/>
        <w:outlineLvl w:val="3"/>
        <w:rPr>
          <w:rFonts w:ascii="Times New Roman" w:hAnsi="宋体"/>
          <w:b/>
          <w:sz w:val="28"/>
        </w:rPr>
      </w:pPr>
      <w:r>
        <w:rPr>
          <w:rFonts w:hint="eastAsia" w:ascii="方正仿宋_GBK" w:eastAsia="方正仿宋_GBK"/>
          <w:b/>
          <w:sz w:val="28"/>
        </w:rPr>
        <w:t>3.公益诉讼经费绩效目标表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3、公益诉讼经费绩效目标表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8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7"/>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84"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hint="eastAsia" w:ascii="方正书宋_GBK" w:eastAsia="方正书宋_GBK"/>
                <w:b/>
              </w:rPr>
              <w:t>404001霸州市人民检察院本级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7"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1.办理公益诉讼案件80件，出差次数80人次。</w:t>
            </w:r>
          </w:p>
          <w:p>
            <w:pPr>
              <w:spacing w:line="300" w:lineRule="exact"/>
              <w:jc w:val="left"/>
              <w:rPr>
                <w:rFonts w:ascii="方正书宋_GBK" w:eastAsia="方正书宋_GBK"/>
              </w:rPr>
            </w:pPr>
            <w:r>
              <w:rPr>
                <w:rFonts w:hint="eastAsia" w:ascii="方正书宋_GBK" w:eastAsia="方正书宋_GBK"/>
              </w:rPr>
              <w:t>2.提高公益诉讼案件的立案率。</w:t>
            </w:r>
          </w:p>
        </w:tc>
      </w:tr>
    </w:tbl>
    <w:p>
      <w:pPr>
        <w:spacing w:line="14" w:lineRule="exact"/>
        <w:jc w:val="center"/>
        <w:rPr>
          <w:rFonts w:ascii="Times New Roman" w:hAnsi="宋体"/>
        </w:rPr>
      </w:pPr>
      <w:r>
        <w:rPr>
          <w:rFonts w:ascii="方正书宋_GBK" w:eastAsia="方正书宋_GBK"/>
        </w:rPr>
        <w:t xml:space="preserve"> </w:t>
      </w:r>
    </w:p>
    <w:tbl>
      <w:tblPr>
        <w:tblStyle w:val="7"/>
        <w:tblW w:w="128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1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610"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出差次数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出差次数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≥80次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办理公益诉讼案件数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办理公益诉讼案件数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≥80件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公益诉讼案件的立案率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公益诉讼起诉案件数占总办理公益诉讼案件数比率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公益诉讼案件处理及时性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公益诉讼案件处理及时性</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及时处理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每人每天出差补助金额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每人每天出差补助金额</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≤180元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促进社会稳定和谐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反映项目实施带来的效益</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10"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群众对办理公益诉讼案件的满意度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调查中群众对公益诉讼满意人数占总调查人数比率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hint="eastAsia" w:ascii="方正仿宋_GBK" w:eastAsia="方正仿宋_GBK"/>
          <w:b/>
          <w:sz w:val="28"/>
        </w:rPr>
      </w:pPr>
      <w:bookmarkStart w:id="3" w:name="_Toc64885166"/>
    </w:p>
    <w:p>
      <w:pPr>
        <w:ind w:firstLine="560" w:firstLineChars="200"/>
        <w:jc w:val="left"/>
        <w:outlineLvl w:val="3"/>
        <w:rPr>
          <w:rFonts w:ascii="Times New Roman" w:hAnsi="宋体"/>
          <w:b/>
          <w:sz w:val="28"/>
        </w:rPr>
      </w:pPr>
      <w:r>
        <w:rPr>
          <w:rFonts w:hint="eastAsia" w:ascii="方正仿宋_GBK" w:eastAsia="方正仿宋_GBK"/>
          <w:b/>
          <w:sz w:val="28"/>
        </w:rPr>
        <w:t>4.检务保障经费绩效目标表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4、检务保障经费绩效目标表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9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23"/>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00"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hint="eastAsia" w:ascii="方正书宋_GBK" w:eastAsia="方正书宋_GBK"/>
                <w:b/>
              </w:rPr>
              <w:t>404001霸州市人民检察院本级</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1.招聘劳务人员20人，书记员13人</w:t>
            </w:r>
          </w:p>
          <w:p>
            <w:pPr>
              <w:spacing w:line="300" w:lineRule="exact"/>
              <w:jc w:val="left"/>
              <w:rPr>
                <w:rFonts w:ascii="方正书宋_GBK" w:eastAsia="方正书宋_GBK"/>
              </w:rPr>
            </w:pPr>
            <w:r>
              <w:rPr>
                <w:rFonts w:hint="eastAsia" w:ascii="方正书宋_GBK" w:eastAsia="方正书宋_GBK"/>
              </w:rPr>
              <w:t>2.协助办案500件，提高办案率</w:t>
            </w:r>
          </w:p>
        </w:tc>
      </w:tr>
    </w:tbl>
    <w:p>
      <w:pPr>
        <w:spacing w:line="14" w:lineRule="exact"/>
        <w:jc w:val="center"/>
        <w:rPr>
          <w:rFonts w:ascii="Times New Roman" w:hAnsi="宋体"/>
        </w:rPr>
      </w:pPr>
      <w:r>
        <w:rPr>
          <w:rFonts w:ascii="方正书宋_GBK" w:eastAsia="方正书宋_GBK"/>
        </w:rPr>
        <w:t xml:space="preserve"> </w:t>
      </w:r>
    </w:p>
    <w:tbl>
      <w:tblPr>
        <w:tblStyle w:val="7"/>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22"/>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622"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招聘劳务人数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招聘劳务人员数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劳务服务协议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聘用制书记员人数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聘用制书记员人数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≥13人</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《关于做好全省市县两级检察机关聘用制书记员招聘工作的通知》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协助办理案件数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协助办理案件数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≥500件</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案件的立案率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案件立案数占办理案件数的比率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案件处理及时性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案件处理及时性</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及时处理</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 xml:space="preserve">招聘人员月工资 </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招聘人员月工资成本</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≤64278元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强化单位履职效能</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提高办案效率，强化单位履职学效能</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622"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对招聘人员使用的满意度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调查中满意人数占总调查人数的比率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rPr>
          <w:rFonts w:ascii="仿宋_GB2312" w:hAnsi="黑体" w:eastAsia="仿宋_GB2312" w:cs="Times New Roman"/>
          <w:color w:val="000000" w:themeColor="text1"/>
          <w:sz w:val="32"/>
          <w:szCs w:val="32"/>
        </w:rPr>
      </w:pPr>
    </w:p>
    <w:p>
      <w:pPr>
        <w:ind w:firstLine="560" w:firstLineChars="200"/>
        <w:jc w:val="left"/>
        <w:outlineLvl w:val="3"/>
        <w:rPr>
          <w:rFonts w:ascii="Times New Roman" w:hAnsi="宋体"/>
          <w:b/>
          <w:sz w:val="28"/>
        </w:rPr>
      </w:pPr>
      <w:bookmarkStart w:id="4" w:name="_Toc64885167"/>
      <w:r>
        <w:rPr>
          <w:rFonts w:hint="eastAsia" w:ascii="方正仿宋_GBK" w:eastAsia="方正仿宋_GBK"/>
          <w:b/>
          <w:sz w:val="28"/>
        </w:rPr>
        <w:t>5.国家赔偿及司法救助经费绩效目标表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5、国家赔偿及司法救助经费绩效目标表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0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6577"/>
        <w:gridCol w:w="1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0"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hint="eastAsia" w:ascii="方正书宋_GBK" w:eastAsia="方正书宋_GBK"/>
                <w:b/>
              </w:rPr>
              <w:t>404001霸州市人民检察院本级</w:t>
            </w:r>
          </w:p>
        </w:tc>
        <w:tc>
          <w:tcPr>
            <w:tcW w:w="1754"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tcBorders>
              <w:bottom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331" w:type="dxa"/>
            <w:gridSpan w:val="2"/>
            <w:tcBorders>
              <w:bottom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1.司法救助2人次</w:t>
            </w:r>
          </w:p>
          <w:p>
            <w:pPr>
              <w:spacing w:line="300" w:lineRule="exact"/>
              <w:jc w:val="left"/>
              <w:rPr>
                <w:rFonts w:ascii="方正书宋_GBK" w:eastAsia="方正书宋_GBK"/>
              </w:rPr>
            </w:pPr>
            <w:r>
              <w:rPr>
                <w:rFonts w:hint="eastAsia" w:ascii="方正书宋_GBK" w:eastAsia="方正书宋_GBK"/>
              </w:rPr>
              <w:t>2.国家赔偿1次</w:t>
            </w:r>
          </w:p>
        </w:tc>
      </w:tr>
    </w:tbl>
    <w:p>
      <w:pPr>
        <w:spacing w:line="14" w:lineRule="exact"/>
        <w:jc w:val="center"/>
        <w:rPr>
          <w:rFonts w:ascii="Times New Roman" w:hAnsi="宋体"/>
        </w:rPr>
      </w:pPr>
      <w:r>
        <w:rPr>
          <w:rFonts w:ascii="方正书宋_GBK" w:eastAsia="方正书宋_GBK"/>
        </w:rPr>
        <w:t xml:space="preserve"> </w:t>
      </w:r>
    </w:p>
    <w:tbl>
      <w:tblPr>
        <w:tblStyle w:val="7"/>
        <w:tblW w:w="130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3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730"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司法救助次数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司法救助次数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国家赔偿次数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国家赔偿次数</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赔偿案件的立案率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赔偿案件的立案率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项目总成本控制在预算数内</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项目总成本控制在15万元以内</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≤15万元</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Merge w:val="continue"/>
            <w:vAlign w:val="center"/>
          </w:tcPr>
          <w:p>
            <w:pPr>
              <w:spacing w:line="300" w:lineRule="exact"/>
              <w:jc w:val="center"/>
              <w:rPr>
                <w:rFonts w:hint="eastAsia" w:ascii="方正书宋_GBK" w:eastAsia="方正书宋_GBK"/>
              </w:rPr>
            </w:pP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赔偿案件处理的及时性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赔偿案件处理的及时性</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≤22天</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人民检察院国家赔偿工作规定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进一步促进社会和谐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进一步促进社会和谐</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30"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接受司法救助国家赔偿人员满意度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接受司法救助国家赔偿人员满意度</w:t>
            </w:r>
          </w:p>
        </w:tc>
        <w:tc>
          <w:tcPr>
            <w:tcW w:w="1276" w:type="dxa"/>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numPr>
          <w:ilvl w:val="0"/>
          <w:numId w:val="0"/>
        </w:numPr>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jc w:val="center"/>
        <w:outlineLvl w:val="0"/>
        <w:rPr>
          <w:rFonts w:ascii="方正小标宋_GBK" w:hAnsi="Times New Roman" w:eastAsia="方正小标宋_GBK" w:cs="Times New Roman"/>
          <w:sz w:val="32"/>
          <w:szCs w:val="24"/>
        </w:rPr>
      </w:pPr>
      <w:bookmarkStart w:id="5" w:name="_Toc471398468"/>
      <w:r>
        <w:rPr>
          <w:rFonts w:hint="eastAsia" w:ascii="方正小标宋_GBK" w:hAnsi="Times New Roman" w:eastAsia="方正小标宋_GBK" w:cs="Times New Roman"/>
          <w:sz w:val="32"/>
          <w:szCs w:val="24"/>
        </w:rPr>
        <w:t>部门政府采购预算</w:t>
      </w:r>
      <w:bookmarkEnd w:id="5"/>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eastAsia="zh-CN"/>
              </w:rPr>
            </w:pPr>
            <w:r>
              <w:rPr>
                <w:rFonts w:hint="eastAsia" w:ascii="方正小标宋_GBK" w:hAnsi="Times New Roman" w:eastAsia="方正小标宋_GBK" w:cs="Times New Roman"/>
                <w:sz w:val="18"/>
                <w:szCs w:val="18"/>
                <w:highlight w:val="none"/>
                <w:lang w:val="en-US" w:eastAsia="zh-CN"/>
              </w:rPr>
              <w:t>404</w:t>
            </w:r>
            <w:r>
              <w:rPr>
                <w:rFonts w:hint="eastAsia" w:ascii="方正小标宋_GBK" w:hAnsi="Times New Roman" w:eastAsia="方正小标宋_GBK" w:cs="Times New Roman"/>
                <w:sz w:val="18"/>
                <w:szCs w:val="18"/>
                <w:highlight w:val="none"/>
                <w:lang w:eastAsia="zh-CN"/>
              </w:rPr>
              <w:t>霸州市人民检察院</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97.9</w:t>
            </w:r>
          </w:p>
        </w:tc>
        <w:tc>
          <w:tcPr>
            <w:tcW w:w="961"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97.9</w:t>
            </w:r>
          </w:p>
        </w:tc>
        <w:tc>
          <w:tcPr>
            <w:tcW w:w="961"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公用类项目</w:t>
            </w:r>
          </w:p>
        </w:tc>
        <w:tc>
          <w:tcPr>
            <w:tcW w:w="125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298.23</w:t>
            </w:r>
          </w:p>
        </w:tc>
        <w:tc>
          <w:tcPr>
            <w:tcW w:w="87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物业管理服务</w:t>
            </w:r>
          </w:p>
        </w:tc>
        <w:tc>
          <w:tcPr>
            <w:tcW w:w="1399"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C1204</w:t>
            </w:r>
          </w:p>
        </w:tc>
        <w:tc>
          <w:tcPr>
            <w:tcW w:w="87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元</w:t>
            </w:r>
          </w:p>
        </w:tc>
        <w:tc>
          <w:tcPr>
            <w:tcW w:w="87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w:t>
            </w:r>
          </w:p>
        </w:tc>
        <w:tc>
          <w:tcPr>
            <w:tcW w:w="904"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7.90</w:t>
            </w:r>
          </w:p>
        </w:tc>
        <w:tc>
          <w:tcPr>
            <w:tcW w:w="961"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7.90</w:t>
            </w:r>
          </w:p>
        </w:tc>
        <w:tc>
          <w:tcPr>
            <w:tcW w:w="961"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7.90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关于提前下达2021年中央政法纪检监察转移支付资金的通知（冀财政法[2020]70号）</w:t>
            </w:r>
          </w:p>
        </w:tc>
        <w:tc>
          <w:tcPr>
            <w:tcW w:w="125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138.00</w:t>
            </w:r>
          </w:p>
        </w:tc>
        <w:tc>
          <w:tcPr>
            <w:tcW w:w="87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其他网络控制设备</w:t>
            </w:r>
          </w:p>
        </w:tc>
        <w:tc>
          <w:tcPr>
            <w:tcW w:w="1399"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A0201020699</w:t>
            </w:r>
          </w:p>
        </w:tc>
        <w:tc>
          <w:tcPr>
            <w:tcW w:w="87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套</w:t>
            </w:r>
          </w:p>
        </w:tc>
        <w:tc>
          <w:tcPr>
            <w:tcW w:w="878"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w:t>
            </w:r>
          </w:p>
        </w:tc>
        <w:tc>
          <w:tcPr>
            <w:tcW w:w="904"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70.00</w:t>
            </w:r>
          </w:p>
        </w:tc>
        <w:tc>
          <w:tcPr>
            <w:tcW w:w="961"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70.00</w:t>
            </w:r>
          </w:p>
        </w:tc>
        <w:tc>
          <w:tcPr>
            <w:tcW w:w="961" w:type="dxa"/>
            <w:shd w:val="clear" w:color="auto" w:fill="auto"/>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70.00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关于提前下达2021年中央政法纪检监察转移支付资金的通知（冀财政法[2020]70号）</w:t>
            </w:r>
          </w:p>
        </w:tc>
        <w:tc>
          <w:tcPr>
            <w:tcW w:w="1258"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138.00</w:t>
            </w:r>
          </w:p>
        </w:tc>
        <w:tc>
          <w:tcPr>
            <w:tcW w:w="878"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办公套件</w:t>
            </w:r>
          </w:p>
        </w:tc>
        <w:tc>
          <w:tcPr>
            <w:tcW w:w="1399"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A0201080104</w:t>
            </w:r>
          </w:p>
        </w:tc>
        <w:tc>
          <w:tcPr>
            <w:tcW w:w="878"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个</w:t>
            </w:r>
          </w:p>
        </w:tc>
        <w:tc>
          <w:tcPr>
            <w:tcW w:w="878"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2</w:t>
            </w:r>
          </w:p>
        </w:tc>
        <w:tc>
          <w:tcPr>
            <w:tcW w:w="904"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10.00</w:t>
            </w:r>
          </w:p>
        </w:tc>
        <w:tc>
          <w:tcPr>
            <w:tcW w:w="961"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20.00</w:t>
            </w:r>
          </w:p>
        </w:tc>
        <w:tc>
          <w:tcPr>
            <w:tcW w:w="961" w:type="dxa"/>
            <w:vAlign w:val="center"/>
          </w:tcPr>
          <w:p>
            <w:pPr>
              <w:spacing w:line="300" w:lineRule="exact"/>
              <w:jc w:val="right"/>
              <w:rPr>
                <w:rFonts w:hint="eastAsia"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20.00</w:t>
            </w:r>
          </w:p>
        </w:tc>
        <w:tc>
          <w:tcPr>
            <w:tcW w:w="961" w:type="dxa"/>
          </w:tcPr>
          <w:p>
            <w:pPr>
              <w:spacing w:line="300" w:lineRule="exact"/>
              <w:jc w:val="right"/>
              <w:rPr>
                <w:rFonts w:ascii="方正书宋_GBK" w:hAnsi="Times New Roman" w:eastAsia="方正书宋_GBK" w:cs="Times New Roman"/>
                <w:b/>
                <w:szCs w:val="24"/>
              </w:rPr>
            </w:pPr>
          </w:p>
        </w:tc>
        <w:tc>
          <w:tcPr>
            <w:tcW w:w="961" w:type="dxa"/>
          </w:tcPr>
          <w:p>
            <w:pPr>
              <w:spacing w:line="300" w:lineRule="exact"/>
              <w:jc w:val="right"/>
              <w:rPr>
                <w:rFonts w:ascii="方正书宋_GBK" w:hAnsi="Times New Roman" w:eastAsia="方正书宋_GBK" w:cs="Times New Roman"/>
                <w:b/>
                <w:szCs w:val="24"/>
              </w:rPr>
            </w:pPr>
          </w:p>
        </w:tc>
        <w:tc>
          <w:tcPr>
            <w:tcW w:w="962" w:type="dxa"/>
          </w:tcPr>
          <w:p>
            <w:pPr>
              <w:spacing w:line="300" w:lineRule="exact"/>
              <w:jc w:val="right"/>
              <w:rPr>
                <w:rFonts w:ascii="方正书宋_GBK" w:hAnsi="Times New Roman" w:eastAsia="方正书宋_GBK" w:cs="Times New Roman"/>
                <w:b/>
                <w:szCs w:val="24"/>
              </w:rPr>
            </w:pPr>
          </w:p>
        </w:tc>
        <w:tc>
          <w:tcPr>
            <w:tcW w:w="962" w:type="dxa"/>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人民检察院</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3641.</w:t>
      </w:r>
      <w:bookmarkStart w:id="6" w:name="_GoBack"/>
      <w:bookmarkEnd w:id="6"/>
      <w:r>
        <w:rPr>
          <w:rFonts w:hint="eastAsia" w:ascii="仿宋_GB2312" w:hAnsi="黑体" w:eastAsia="仿宋_GB2312" w:cs="Times New Roman"/>
          <w:sz w:val="32"/>
          <w:szCs w:val="32"/>
          <w:lang w:val="en-US" w:eastAsia="zh-CN"/>
        </w:rPr>
        <w:t>77</w:t>
      </w:r>
      <w:r>
        <w:rPr>
          <w:rFonts w:hint="eastAsia" w:ascii="仿宋_GB2312" w:hAnsi="黑体" w:eastAsia="仿宋_GB2312" w:cs="Times New Roman"/>
          <w:sz w:val="32"/>
          <w:szCs w:val="32"/>
        </w:rPr>
        <w:t>万元（详见下表）。本年度各单位（处室）拟购置固定资产总额为</w:t>
      </w:r>
      <w:r>
        <w:rPr>
          <w:rFonts w:hint="eastAsia" w:ascii="仿宋_GB2312" w:hAnsi="黑体" w:eastAsia="仿宋_GB2312" w:cs="Times New Roman"/>
          <w:sz w:val="32"/>
          <w:szCs w:val="32"/>
          <w:lang w:val="en-US" w:eastAsia="zh-CN"/>
        </w:rPr>
        <w:t>298.23</w:t>
      </w:r>
      <w:r>
        <w:rPr>
          <w:rFonts w:hint="eastAsia" w:ascii="仿宋_GB2312" w:hAnsi="黑体" w:eastAsia="仿宋_GB2312" w:cs="Times New Roman"/>
          <w:sz w:val="32"/>
          <w:szCs w:val="32"/>
        </w:rPr>
        <w:t>万元，主要为计算机设备、打印设备、空调、办公家具等，已列入政府采购预算，详见政府采购预算表。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人民检察院</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404霸州市人民检察院</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3641.77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5846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1331.36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5846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1331.36</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400.80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2095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1909.61</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D61C83-A2E1-4C47-8AC0-EB8347BD0F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97DFB986-4F06-4317-A4AA-BE8C684733F9}"/>
  </w:font>
  <w:font w:name="仿宋_GB2312">
    <w:panose1 w:val="02010609030101010101"/>
    <w:charset w:val="86"/>
    <w:family w:val="modern"/>
    <w:pitch w:val="default"/>
    <w:sig w:usb0="00000001" w:usb1="080E0000" w:usb2="00000000" w:usb3="00000000" w:csb0="00040000" w:csb1="00000000"/>
    <w:embedRegular r:id="rId3" w:fontKey="{543364F2-2207-4B0F-91E6-37E4A9599BEC}"/>
  </w:font>
  <w:font w:name="楷体_GB2312">
    <w:altName w:val="楷体"/>
    <w:panose1 w:val="02010609030101010101"/>
    <w:charset w:val="86"/>
    <w:family w:val="modern"/>
    <w:pitch w:val="default"/>
    <w:sig w:usb0="00000000" w:usb1="00000000" w:usb2="00000000" w:usb3="00000000" w:csb0="00040000" w:csb1="00000000"/>
    <w:embedRegular r:id="rId4" w:fontKey="{A83DC43F-086C-4960-BFC6-6F9907FEAE89}"/>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5" w:fontKey="{E37204DD-39B4-4EC5-8AED-607C7A4EF95C}"/>
  </w:font>
  <w:font w:name="方正小标宋_GBK">
    <w:altName w:val="微软雅黑"/>
    <w:panose1 w:val="03000509000000000000"/>
    <w:charset w:val="86"/>
    <w:family w:val="script"/>
    <w:pitch w:val="default"/>
    <w:sig w:usb0="00000000" w:usb1="00000000" w:usb2="00000000" w:usb3="00000000" w:csb0="00040000" w:csb1="00000000"/>
    <w:embedRegular r:id="rId6" w:fontKey="{38340964-3937-4FE4-B97E-8409EC0CBEF9}"/>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embedRegular r:id="rId7" w:fontKey="{57AAF1EF-6E3E-4968-B004-550C9E507425}"/>
  </w:font>
  <w:font w:name="方正仿宋_GBK">
    <w:altName w:val="微软雅黑"/>
    <w:panose1 w:val="03000509000000000000"/>
    <w:charset w:val="86"/>
    <w:family w:val="script"/>
    <w:pitch w:val="default"/>
    <w:sig w:usb0="00000000" w:usb1="00000000" w:usb2="00000000" w:usb3="00000000" w:csb0="00040000" w:csb1="00000000"/>
    <w:embedRegular r:id="rId8" w:fontKey="{1E22F532-653A-4426-8D08-E04989E28D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7C5A7"/>
    <w:multiLevelType w:val="singleLevel"/>
    <w:tmpl w:val="E6C7C5A7"/>
    <w:lvl w:ilvl="0" w:tentative="0">
      <w:start w:val="3"/>
      <w:numFmt w:val="chineseCounting"/>
      <w:suff w:val="nothing"/>
      <w:lvlText w:val="%1、"/>
      <w:lvlJc w:val="left"/>
      <w:rPr>
        <w:rFonts w:hint="eastAsia"/>
      </w:rPr>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NjBkNmMyMTkwNjU3MDk4YWM3ZTg1YzAwYWZkZDg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0A3"/>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3AC74B7"/>
    <w:rsid w:val="0F850E14"/>
    <w:rsid w:val="10113BD5"/>
    <w:rsid w:val="10D361FD"/>
    <w:rsid w:val="145E05A9"/>
    <w:rsid w:val="1BEF0B4B"/>
    <w:rsid w:val="1C046622"/>
    <w:rsid w:val="1DE775EC"/>
    <w:rsid w:val="2054547A"/>
    <w:rsid w:val="20D5406E"/>
    <w:rsid w:val="23E62A1E"/>
    <w:rsid w:val="24751C37"/>
    <w:rsid w:val="25843B26"/>
    <w:rsid w:val="2C911CD4"/>
    <w:rsid w:val="2F341BAC"/>
    <w:rsid w:val="326B5925"/>
    <w:rsid w:val="33326E19"/>
    <w:rsid w:val="33E436B8"/>
    <w:rsid w:val="41BC2F77"/>
    <w:rsid w:val="43DB33A6"/>
    <w:rsid w:val="442B5BCE"/>
    <w:rsid w:val="47E7711B"/>
    <w:rsid w:val="48571262"/>
    <w:rsid w:val="4AFE6AAC"/>
    <w:rsid w:val="4C4A3501"/>
    <w:rsid w:val="4D4B624A"/>
    <w:rsid w:val="557156B7"/>
    <w:rsid w:val="55E155BE"/>
    <w:rsid w:val="576F6643"/>
    <w:rsid w:val="59924001"/>
    <w:rsid w:val="59B64689"/>
    <w:rsid w:val="5C4C4DC5"/>
    <w:rsid w:val="5DB30786"/>
    <w:rsid w:val="61DC2EA1"/>
    <w:rsid w:val="62EB70B3"/>
    <w:rsid w:val="63502E38"/>
    <w:rsid w:val="64293890"/>
    <w:rsid w:val="650376AB"/>
    <w:rsid w:val="68225F20"/>
    <w:rsid w:val="69DE6243"/>
    <w:rsid w:val="6A4117ED"/>
    <w:rsid w:val="724F24A6"/>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8686</Words>
  <Characters>9176</Characters>
  <Lines>23</Lines>
  <Paragraphs>6</Paragraphs>
  <TotalTime>5</TotalTime>
  <ScaleCrop>false</ScaleCrop>
  <LinksUpToDate>false</LinksUpToDate>
  <CharactersWithSpaces>9326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天路</cp:lastModifiedBy>
  <cp:lastPrinted>2018-02-28T01:51:00Z</cp:lastPrinted>
  <dcterms:modified xsi:type="dcterms:W3CDTF">2022-09-06T06:54:15Z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D424C7D4606D451E9038F0F2CF7ED2C7</vt:lpwstr>
  </property>
</Properties>
</file>